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E9" w:rsidRPr="00657DEF" w:rsidRDefault="000A07E9" w:rsidP="000A07E9">
      <w:pPr>
        <w:rPr>
          <w:rFonts w:ascii="Cambria" w:hAnsi="Cambria"/>
          <w:b/>
        </w:rPr>
      </w:pPr>
      <w:r w:rsidRPr="00657DEF">
        <w:rPr>
          <w:rFonts w:ascii="Cambria" w:hAnsi="Cambria"/>
          <w:b/>
        </w:rPr>
        <w:t xml:space="preserve">Program </w:t>
      </w:r>
      <w:r>
        <w:rPr>
          <w:rFonts w:ascii="Cambria" w:hAnsi="Cambria"/>
          <w:b/>
        </w:rPr>
        <w:t>kur</w:t>
      </w:r>
      <w:r>
        <w:rPr>
          <w:rFonts w:ascii="Cambria" w:hAnsi="Cambria"/>
          <w:b/>
        </w:rPr>
        <w:t>su Medycyna Paliatywna wiosna 2025</w:t>
      </w:r>
      <w:r w:rsidRPr="00657DEF">
        <w:rPr>
          <w:rFonts w:ascii="Cambria" w:hAnsi="Cambria"/>
          <w:b/>
        </w:rPr>
        <w:t xml:space="preserve"> r.  zgodny z wymogami rozporządzenia Ministra Zdrowia w sprawie świadczeń gwarantowanych z zakresu opieki paliatywnej i hospicyjnej z dnia 29.10.2013r.- 40 godzin edukacyjnych /Dz.U 2013. Po z .1347/</w:t>
      </w:r>
    </w:p>
    <w:p w:rsidR="000A07E9" w:rsidRPr="00657DEF" w:rsidRDefault="000A07E9" w:rsidP="000A07E9">
      <w:pPr>
        <w:rPr>
          <w:rFonts w:ascii="Cambria" w:hAnsi="Cambria"/>
        </w:rPr>
      </w:pP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Definicja ,geneza, organizacja opieki paliatywnej .Zespół interdyscyplinarny.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Organizacja opieki </w:t>
      </w:r>
      <w:proofErr w:type="spellStart"/>
      <w:r w:rsidRPr="00657DEF">
        <w:rPr>
          <w:rFonts w:ascii="Cambria" w:hAnsi="Cambria"/>
        </w:rPr>
        <w:t>paliatywno</w:t>
      </w:r>
      <w:proofErr w:type="spellEnd"/>
      <w:r w:rsidRPr="00657DEF">
        <w:rPr>
          <w:rFonts w:ascii="Cambria" w:hAnsi="Cambria"/>
        </w:rPr>
        <w:t xml:space="preserve"> – hospicyjnej w Polsce.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Ból – patofizjologia, diagnostyka i zasady leczenia.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Postępowanie paliatywne w chorobach układu oddechowego.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>Pielęgnowanie w opiece paliatywnej.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Leczenie odleżyn.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Inwazyjne metody leczenia bólu. 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Fizjoterapia w opiece paliatywnej . Praktyczne zastosowanie fizjoterapii w hospicjum domowym.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>Zagadnienia  etyczne.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Opieka paliatywna w kardiologii.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>Opieka nad pacjentem umierającym .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Sedacja paliatywna.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Wykorzystanie radio i chemioterapii w opiece paliatywnej.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Problemy psychiatryczne w medycynie paliatywnej.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Pomoc psychologiczna . Rola wsparcia psychicznego. Komunikacja z pacjentem i rodziną.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>Neurologia  w opiece paliatywnej.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>Stany nagłe w medycynie paliatywnej.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Objawy somatyczne. Postępowanie. 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>Żywienie  kliniczne w medycynie  paliatywnej .</w:t>
      </w:r>
    </w:p>
    <w:p w:rsidR="000A07E9" w:rsidRPr="00657DEF" w:rsidRDefault="000A07E9" w:rsidP="000A07E9">
      <w:pPr>
        <w:rPr>
          <w:rFonts w:ascii="Cambria" w:hAnsi="Cambria"/>
        </w:rPr>
      </w:pPr>
      <w:r w:rsidRPr="00657DEF">
        <w:rPr>
          <w:rFonts w:ascii="Cambria" w:hAnsi="Cambria"/>
        </w:rPr>
        <w:t xml:space="preserve">Przerzuty nowotworowe do kości. Metody postepowania. </w:t>
      </w:r>
    </w:p>
    <w:p w:rsidR="000A07E9" w:rsidRDefault="000A07E9" w:rsidP="000A07E9">
      <w:pPr>
        <w:rPr>
          <w:rFonts w:ascii="Cambria" w:hAnsi="Cambria"/>
        </w:rPr>
      </w:pPr>
      <w:r>
        <w:rPr>
          <w:rFonts w:ascii="Cambria" w:hAnsi="Cambria"/>
        </w:rPr>
        <w:t>Objawy hematologiczne w opiece paliatywnej.</w:t>
      </w:r>
    </w:p>
    <w:p w:rsidR="00E43C3D" w:rsidRDefault="00E43C3D">
      <w:bookmarkStart w:id="0" w:name="_GoBack"/>
      <w:bookmarkEnd w:id="0"/>
    </w:p>
    <w:sectPr w:rsidR="00E43C3D" w:rsidSect="000A0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E9"/>
    <w:rsid w:val="000A07E9"/>
    <w:rsid w:val="00E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1A76"/>
  <w15:chartTrackingRefBased/>
  <w15:docId w15:val="{378A563F-4665-4D47-B4BC-FEB2F8C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Fho</dc:creator>
  <cp:keywords/>
  <dc:description/>
  <cp:lastModifiedBy>Fho</cp:lastModifiedBy>
  <cp:revision>1</cp:revision>
  <dcterms:created xsi:type="dcterms:W3CDTF">2025-01-15T11:07:00Z</dcterms:created>
  <dcterms:modified xsi:type="dcterms:W3CDTF">2025-01-15T11:07:00Z</dcterms:modified>
</cp:coreProperties>
</file>